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E1721" w14:textId="37D943CD" w:rsidR="003C0B61" w:rsidRPr="003C0B61" w:rsidRDefault="003C0B61" w:rsidP="00AF5F11">
      <w:pPr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</w:t>
      </w:r>
      <w:r w:rsidR="00AF5F1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</w:t>
      </w: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453FA5A8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</w:t>
      </w:r>
      <w:r w:rsidR="00F47D81">
        <w:rPr>
          <w:rFonts w:ascii="Times New Roman" w:eastAsia="Calibri" w:hAnsi="Times New Roman" w:cs="Times New Roman"/>
          <w:sz w:val="24"/>
          <w:szCs w:val="24"/>
        </w:rPr>
        <w:t>.............</w:t>
      </w:r>
      <w:r w:rsidRPr="003C0B61">
        <w:rPr>
          <w:rFonts w:ascii="Times New Roman" w:eastAsia="Calibri" w:hAnsi="Times New Roman" w:cs="Times New Roman"/>
          <w:sz w:val="24"/>
          <w:szCs w:val="24"/>
        </w:rPr>
        <w:t>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</w:t>
      </w:r>
      <w:r w:rsidR="00F47D81">
        <w:rPr>
          <w:rFonts w:ascii="Times New Roman" w:eastAsia="Calibri" w:hAnsi="Times New Roman" w:cs="Times New Roman"/>
          <w:sz w:val="24"/>
          <w:szCs w:val="24"/>
        </w:rPr>
        <w:t>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F47D81">
        <w:rPr>
          <w:rFonts w:ascii="Times New Roman" w:eastAsia="Calibri" w:hAnsi="Times New Roman" w:cs="Times New Roman"/>
          <w:sz w:val="24"/>
          <w:szCs w:val="24"/>
        </w:rPr>
        <w:t xml:space="preserve"> .......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</w:t>
      </w:r>
      <w:r w:rsidR="00A93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motive medicale,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01BD51" w14:textId="77777777" w:rsidR="00A93F47" w:rsidRDefault="003C0B61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de încadrare în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 eliberat de medicul specialist (tip A5)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24BB584C" w:rsidR="00A93F47" w:rsidRDefault="00A93F47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Menționez că fiul meu/fiica mea a fost luat/ă </w:t>
      </w:r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în evidenţă de către medicul de la cabinetul şcolar/medicul de familie - </w:t>
      </w:r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acolo unde nu există medic şcolar.</w:t>
      </w:r>
    </w:p>
    <w:p w14:paraId="0B1C7699" w14:textId="5A3FF102" w:rsidR="00226A72" w:rsidRPr="00226A72" w:rsidRDefault="00226A72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26A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Certificat naştere elevi sub 14 ani/ carte de identitate peste 14 ani</w:t>
      </w:r>
      <w:r w:rsidR="00F47D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168AEB1B" w14:textId="43F6449B" w:rsidR="00226A72" w:rsidRDefault="00226A72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26A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Cont iban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elev/părinte</w:t>
      </w:r>
      <w:r w:rsidR="00F47D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35C2F70C" w14:textId="77032724" w:rsidR="00F47D81" w:rsidRPr="00226A72" w:rsidRDefault="00F47D81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Copie certificat naștere/ carte identitate titular cont iban;</w:t>
      </w:r>
    </w:p>
    <w:p w14:paraId="7DC91986" w14:textId="2CE38D9A" w:rsidR="009671BF" w:rsidRPr="003C0B61" w:rsidRDefault="009671BF" w:rsidP="00A93F47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4237300E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388BA405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01334" w14:textId="77777777" w:rsidR="00A93F47" w:rsidRPr="007C6425" w:rsidRDefault="00A93F47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2CABC" w14:textId="498DA55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D6A60" w14:textId="77777777" w:rsidR="00A93F47" w:rsidRDefault="00A93F47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A6C3D8" w14:textId="070ECFE6" w:rsidR="003C0B61" w:rsidRDefault="00AF5F1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Unitatea de învățământ Şcoala ŞCOALA GIMNAZIALĂ „IOAN VLĂDUŢIU” LUDUŞ</w:t>
      </w:r>
      <w:r w:rsidR="003C0B61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="003C0B61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3C0B61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3C0B61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C0B61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="003C0B61"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Ordinul nr. 6238/2022 privind aprobarea </w:t>
      </w:r>
      <w:r w:rsidR="003C0B61" w:rsidRPr="00E45C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 w:rsidR="003C0B61"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1B60AB19" w14:textId="77777777" w:rsidR="002B069D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p w14:paraId="0DF4A88A" w14:textId="77777777" w:rsidR="00F47D81" w:rsidRDefault="00F47D81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p w14:paraId="7DF25F91" w14:textId="77777777" w:rsidR="00F47D81" w:rsidRDefault="00F47D81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p w14:paraId="564928AC" w14:textId="71B1A061" w:rsidR="00F47D81" w:rsidRDefault="00F86DDC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/>
        </w:rPr>
      </w:pPr>
      <w:r w:rsidRPr="00F86D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/>
        </w:rPr>
        <w:lastRenderedPageBreak/>
        <w:t>BURSĂ SOCIALĂ PENTRU MOTIVE MEDICALE</w:t>
      </w:r>
    </w:p>
    <w:p w14:paraId="130D3208" w14:textId="77777777" w:rsidR="00F86DDC" w:rsidRPr="00F86DDC" w:rsidRDefault="00F86DDC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/>
        </w:rPr>
      </w:pPr>
      <w:bookmarkStart w:id="1" w:name="_GoBack"/>
      <w:bookmarkEnd w:id="1"/>
    </w:p>
    <w:p w14:paraId="272BE04E" w14:textId="21B5CDD4" w:rsidR="00F47D81" w:rsidRPr="00F86DDC" w:rsidRDefault="00F47D81" w:rsidP="00F47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  <w:t>Art. 9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(1)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Bursa socială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reprezintă o formă de sprijin a elevilor din medii dezavantajate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socioeconomic sau din grupuri vulnerabile sau cu situații medicale speciale, în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vederea susținerii participării la activitățile didactice ș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i a prevenirii abandonului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școlar.</w:t>
      </w:r>
    </w:p>
    <w:p w14:paraId="5948DDBC" w14:textId="77777777" w:rsidR="00F47D81" w:rsidRPr="00F86DDC" w:rsidRDefault="00F47D81" w:rsidP="00F47D8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(2) Bursa socială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se acordă la cerere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în funcție de situația</w:t>
      </w:r>
    </w:p>
    <w:p w14:paraId="5B6F677C" w14:textId="77777777" w:rsidR="00F47D81" w:rsidRPr="00F86DDC" w:rsidRDefault="00F47D81" w:rsidP="00F47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materială/socială/medicală a elevului, a familiei sau a susținătorilor legali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5BE1F95B" w14:textId="77777777" w:rsidR="00F47D81" w:rsidRPr="00F86DDC" w:rsidRDefault="00F47D81" w:rsidP="00F47D8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(3)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Elevii care beneficiază de bursă socială au dreptul la păstrarea</w:t>
      </w:r>
    </w:p>
    <w:p w14:paraId="4FAA3702" w14:textId="37B55A5E" w:rsidR="00F47D81" w:rsidRPr="00F86DDC" w:rsidRDefault="00F47D81" w:rsidP="00F47D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confidențialității asupra identității, datelor cu caracter personal și informațiilor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referitoare la situația de dificultate în care se află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2006253E" w14:textId="77777777" w:rsidR="00F47D81" w:rsidRPr="00F86DDC" w:rsidRDefault="00F47D81" w:rsidP="00F47D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</w:pPr>
      <w:r w:rsidRPr="00F86DDC"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  <w:t>Art. 10</w:t>
      </w:r>
    </w:p>
    <w:p w14:paraId="43589FAA" w14:textId="35491795" w:rsidR="00F47D81" w:rsidRPr="00F86DDC" w:rsidRDefault="00F47D81" w:rsidP="00F47D8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(1)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Bursa socială se acordă elevilor din învățământul preuniversitar de stat,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înscriși la cursurile cu frecvență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,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inclusiv celor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școlarizați la domiciliu sau care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urmează cursurile în școala de spital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, care se încadrează în cel puțin una dintre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următoarele situații:</w:t>
      </w:r>
    </w:p>
    <w:p w14:paraId="501A7EDA" w14:textId="6E8A9361" w:rsidR="00F47D81" w:rsidRPr="00F86DDC" w:rsidRDefault="00F47D81" w:rsidP="00F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Cs w:val="24"/>
          <w:lang w:val="en-US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e)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elevi care au deficiențe/afectări funcționale produse de boli, tulburări sau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afecțiuni ale structurilor și funcțiilor organismului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încadrate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conform criteriilor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din anexa nr. 1 la Ordinul ministrului sănătății și al ministrului muncii, familiei,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protecției sociale și persoanelor vârstnice nr. 1.306/1.883/2016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pentru aprobarea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criteriilor biopsihosociale de încadrare a copiilor cu dizabilități în grad de handicap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și a modalităților de aplicare a acestora, cu modificările și completările ulterioare,și structurate tipologic conform aceluiași ordin,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fără a se lua în considerare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nivelul venitului mediu pe membru de familie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;</w:t>
      </w:r>
    </w:p>
    <w:p w14:paraId="4070C5BF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(2) Pentru obținerea bursei sociale,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elevii majori sau părinții/tutorii legal</w:t>
      </w:r>
    </w:p>
    <w:p w14:paraId="415F0D99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</w:pP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instituiți/reprezentanții legali ai elevilor minori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depun la Comisia de</w:t>
      </w:r>
    </w:p>
    <w:p w14:paraId="2A6F0E45" w14:textId="14DCB210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</w:pP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management al burselor din unitatea de învățământ o cerere însoțită de acte care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dovedesc dreptul de acordare a bursei sociale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în primele 25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(5) Acordarea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burselor sociale pentru motive medicale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se face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pe baza</w:t>
      </w:r>
    </w:p>
    <w:p w14:paraId="51F42009" w14:textId="590843CE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certificatului de încadrare în grad de handicap sau a certificatului eliberat de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medicul specialist (tip A5),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cu luarea în evidență de către medicul de la cabinetul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școlar/medicul de familie 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- acolo unde nu există medic școlar.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e zile calendaristice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de la începerea cursurilor anului școlar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7D9E0037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</w:pPr>
      <w:r w:rsidRPr="00F86DDC"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  <w:t>Art. 12</w:t>
      </w:r>
    </w:p>
    <w:p w14:paraId="317B3950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(1)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Bursele sociale se acordă și în perioada vacanțelor școlare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5F528B4D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(2) </w:t>
      </w:r>
      <w:r w:rsidRPr="00F86DDC"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  <w:t>Prin excepție de la prevederile alin. (1), nu primesc bursa socială în</w:t>
      </w:r>
    </w:p>
    <w:p w14:paraId="7CB6EF9F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</w:pPr>
      <w:r w:rsidRPr="00F86DDC"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  <w:t>perioada vacanței de vară:</w:t>
      </w:r>
    </w:p>
    <w:p w14:paraId="1113A11F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a)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elevii care nu au promovat anul școlar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;</w:t>
      </w:r>
    </w:p>
    <w:p w14:paraId="3918ED91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b) elevii care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la sfârșitul anului școlar sunt corigenți la mai mult de o disciplină</w:t>
      </w:r>
    </w:p>
    <w:p w14:paraId="0C5E9C36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și au acumulat mai mult de 20 de absențe nemotivate/an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;</w:t>
      </w:r>
    </w:p>
    <w:p w14:paraId="249B7080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c) absolvenții învățământului gimnazial care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nu au fost admiși în</w:t>
      </w:r>
    </w:p>
    <w:p w14:paraId="7A37B0C5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liceu/învățământ profesional, cursuri cu frecvență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, într-o unitate de învățământ</w:t>
      </w:r>
    </w:p>
    <w:p w14:paraId="45856057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preuniversitar de stat;</w:t>
      </w:r>
    </w:p>
    <w:p w14:paraId="28CDBD4D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d) elevii care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repetă anul școlar din alte motive decât medicale</w:t>
      </w: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77E408B0" w14:textId="77777777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</w:pPr>
      <w:r w:rsidRPr="00F86DDC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(3) Elevii care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acumulează 10 sau mai multe absențe nemotivate într-o lună </w:t>
      </w: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nu</w:t>
      </w:r>
    </w:p>
    <w:p w14:paraId="2D1E19DE" w14:textId="022E405A" w:rsidR="00F86DDC" w:rsidRPr="00F86DDC" w:rsidRDefault="00F86DDC" w:rsidP="00F86D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Cs w:val="24"/>
          <w:lang w:val="en-US"/>
        </w:rPr>
      </w:pPr>
      <w:r w:rsidRPr="00F86DDC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primesc bursa socială pentru luna respectivă</w:t>
      </w:r>
      <w:r w:rsidRPr="00F86DDC">
        <w:rPr>
          <w:rFonts w:ascii="TimesNewRoman" w:hAnsi="TimesNewRoman" w:cs="TimesNewRoman"/>
          <w:color w:val="FF0000"/>
          <w:sz w:val="26"/>
          <w:szCs w:val="28"/>
          <w:lang w:val="en-GB"/>
        </w:rPr>
        <w:t>.</w:t>
      </w:r>
    </w:p>
    <w:sectPr w:rsidR="00F86DDC" w:rsidRPr="00F86DDC" w:rsidSect="00AF5F11">
      <w:headerReference w:type="default" r:id="rId7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A50D5" w14:textId="77777777" w:rsidR="00C21D8F" w:rsidRDefault="00C21D8F" w:rsidP="003C0B61">
      <w:pPr>
        <w:spacing w:after="0" w:line="240" w:lineRule="auto"/>
      </w:pPr>
      <w:r>
        <w:separator/>
      </w:r>
    </w:p>
  </w:endnote>
  <w:endnote w:type="continuationSeparator" w:id="0">
    <w:p w14:paraId="714B73AB" w14:textId="77777777" w:rsidR="00C21D8F" w:rsidRDefault="00C21D8F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B3296" w14:textId="77777777" w:rsidR="00C21D8F" w:rsidRDefault="00C21D8F" w:rsidP="003C0B61">
      <w:pPr>
        <w:spacing w:after="0" w:line="240" w:lineRule="auto"/>
      </w:pPr>
      <w:r>
        <w:separator/>
      </w:r>
    </w:p>
  </w:footnote>
  <w:footnote w:type="continuationSeparator" w:id="0">
    <w:p w14:paraId="797C06D7" w14:textId="77777777" w:rsidR="00C21D8F" w:rsidRDefault="00C21D8F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F1BF" w14:textId="6BBB34EC" w:rsidR="003C0B61" w:rsidRDefault="00AF5F11">
    <w:pPr>
      <w:pStyle w:val="Antet"/>
    </w:pPr>
    <w:r>
      <w:rPr>
        <w:noProof/>
        <w:lang w:val="en-GB" w:eastAsia="en-GB"/>
      </w:rPr>
      <w:drawing>
        <wp:inline distT="0" distB="0" distL="0" distR="0" wp14:anchorId="07EA44DD" wp14:editId="0F9D2049">
          <wp:extent cx="6120130" cy="880190"/>
          <wp:effectExtent l="0" t="0" r="0" b="0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I V LUD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26A72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F04C5"/>
    <w:rsid w:val="00AF5F11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000BD"/>
    <w:rsid w:val="00C14303"/>
    <w:rsid w:val="00C16884"/>
    <w:rsid w:val="00C21D8F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02DD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47D81"/>
    <w:rsid w:val="00F74BA0"/>
    <w:rsid w:val="00F810BB"/>
    <w:rsid w:val="00F86DDC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Laptop2</cp:lastModifiedBy>
  <cp:revision>4</cp:revision>
  <cp:lastPrinted>2023-09-19T10:51:00Z</cp:lastPrinted>
  <dcterms:created xsi:type="dcterms:W3CDTF">2023-09-18T10:17:00Z</dcterms:created>
  <dcterms:modified xsi:type="dcterms:W3CDTF">2023-09-19T10:51:00Z</dcterms:modified>
</cp:coreProperties>
</file>